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381">
      <w:pPr>
        <w:jc w:val="both"/>
        <w:rPr>
          <w:b/>
          <w:bCs/>
        </w:rPr>
      </w:pPr>
      <w:r>
        <w:rPr>
          <w:b/>
          <w:bCs/>
        </w:rPr>
        <w:t>LA LEGITTIMAZIONE A PROPORRE IL RICORSO; INDIVIDUAZIONE DEL RESPONSABILE DEI SERVIZI E LA SUA DISCREZIONALITA': CRITERI DI SCELTA E FILTRI</w:t>
      </w:r>
    </w:p>
    <w:p w:rsidR="00000000" w:rsidRDefault="000F1381">
      <w:pPr>
        <w:jc w:val="center"/>
      </w:pPr>
      <w:r>
        <w:t xml:space="preserve">D.ssa Guendalina Scozzafava </w:t>
      </w:r>
    </w:p>
    <w:p w:rsidR="00000000" w:rsidRDefault="000F1381">
      <w:pPr>
        <w:jc w:val="center"/>
      </w:pPr>
      <w:r>
        <w:t>Assistente Sociale, Dottore Magistrale in Programmazione e Gestione delle Politiche e de</w:t>
      </w:r>
      <w:r>
        <w:t>i Servizi Sociali</w:t>
      </w:r>
    </w:p>
    <w:p w:rsidR="00000000" w:rsidRDefault="000F1381">
      <w:pPr>
        <w:jc w:val="both"/>
      </w:pPr>
    </w:p>
    <w:p w:rsidR="00000000" w:rsidRDefault="000F1381">
      <w:pPr>
        <w:jc w:val="both"/>
      </w:pPr>
    </w:p>
    <w:p w:rsidR="00000000" w:rsidRDefault="000F1381">
      <w:pPr>
        <w:jc w:val="both"/>
      </w:pPr>
      <w:r>
        <w:t>Tra le innovazioni normative e culturali che la legge 6/2004 ha portato con sé, non si può non dare risalto al fatto che, per la prima volta, i servizi sociali entrano nel codice civile italiano, portandosi nuovi linguaggi, nuovi sguard</w:t>
      </w:r>
      <w:r>
        <w:t>i e nuove prospettive.</w:t>
      </w:r>
    </w:p>
    <w:p w:rsidR="00000000" w:rsidRDefault="000F1381">
      <w:pPr>
        <w:jc w:val="both"/>
      </w:pPr>
      <w:r>
        <w:t>L'articolo 406 c.c – nello specifico - recita: “</w:t>
      </w:r>
      <w:r>
        <w:rPr>
          <w:i/>
          <w:iCs/>
        </w:rPr>
        <w:t xml:space="preserve"> I responsabili dei servizi sanitari e sociali direttamente impegnati nella cura e assistenza della persona, ove a conoscenza di fatti tali da rendere opportuna l'apertura del procedime</w:t>
      </w:r>
      <w:r>
        <w:rPr>
          <w:i/>
          <w:iCs/>
        </w:rPr>
        <w:t xml:space="preserve">nto di amministrazione di sostegno, sono tenuti a proporre al giudice tutelare il ricorso di cui all'articolo </w:t>
      </w:r>
      <w:hyperlink r:id="rId5" w:history="1">
        <w:r>
          <w:rPr>
            <w:rStyle w:val="Collegamentoipertestuale"/>
          </w:rPr>
          <w:t>407</w:t>
        </w:r>
      </w:hyperlink>
      <w:r>
        <w:rPr>
          <w:i/>
          <w:iCs/>
        </w:rPr>
        <w:t xml:space="preserve"> o a fornirne comunque notizia al pubblico ministero</w:t>
      </w:r>
      <w:r>
        <w:t>.”</w:t>
      </w:r>
    </w:p>
    <w:p w:rsidR="00000000" w:rsidRDefault="000F1381">
      <w:pPr>
        <w:jc w:val="both"/>
      </w:pPr>
      <w:r>
        <w:t>Con l'articolo 406 i servizi socio sanitari vengono d</w:t>
      </w:r>
      <w:r>
        <w:t>unque investiti di una nuova responsabilità nei confronti dei soggetti fragili, che è quella della segnalazione.</w:t>
      </w:r>
    </w:p>
    <w:p w:rsidR="00000000" w:rsidRDefault="000F1381">
      <w:pPr>
        <w:jc w:val="both"/>
      </w:pPr>
      <w:r>
        <w:t>Una responsabilità formale, poiché strettamente intrecciata al mandato originario di protezione delle fragilità, ma anche una responsabilità gi</w:t>
      </w:r>
      <w:r>
        <w:t>uridica con la quale doversi confrontare in caso di inadempimento.</w:t>
      </w:r>
    </w:p>
    <w:p w:rsidR="00000000" w:rsidRDefault="000F1381">
      <w:pPr>
        <w:jc w:val="both"/>
      </w:pPr>
      <w:r>
        <w:t>Si rappresenta dunque una sorta di equiparazione tra l'obbligo di segnalazione, tradizionalmente conferito ai servizi socio sanitari (e non solo), in caso di minore che riversa in condizion</w:t>
      </w:r>
      <w:r>
        <w:t>i pregiudizievoli di abbandono e/o maltrattamento.</w:t>
      </w:r>
    </w:p>
    <w:p w:rsidR="00000000" w:rsidRDefault="000F1381">
      <w:pPr>
        <w:jc w:val="both"/>
      </w:pPr>
      <w:r>
        <w:t>In tal caso il servizio sociale ha il compito e l'obbligo di segnalare la situazione di pregiudizio quale strumento di protezione e di fondamentale tutela dei diritti dei minori che, in quanto tali, non si</w:t>
      </w:r>
      <w:r>
        <w:t xml:space="preserve"> trovano nella condizione giuridica necessaria per far valere autonomamente i propri diritti.</w:t>
      </w:r>
    </w:p>
    <w:p w:rsidR="00000000" w:rsidRDefault="000F1381">
      <w:pPr>
        <w:jc w:val="both"/>
      </w:pPr>
      <w:r>
        <w:t>Similmente al minore che non ha ancora acquisito la capacità d'agire, anche il beneficiario dell'amministrazione di sostegno si trova in una condizione di comprom</w:t>
      </w:r>
      <w:r>
        <w:t>essa capacità d'agire a causa di una menomazione psichica o fisica e pertanto, alla pari del minore, potrebbe necessitare di una protezione giuridica per la quale i servizi sociali sono chiamati e devono garantire una risposta immediata e  di sostegno.</w:t>
      </w:r>
    </w:p>
    <w:p w:rsidR="00000000" w:rsidRDefault="000F1381">
      <w:pPr>
        <w:jc w:val="both"/>
      </w:pPr>
      <w:r>
        <w:t xml:space="preserve">Il </w:t>
      </w:r>
      <w:r>
        <w:t>perché la legge 6/2004 abbia voluto riconoscere  ai servizi socio sanitari un ruolo di soggetto particolarmente qualificato nell'identificazione delle condizioni di fragilità meritevoli di protezione giuridica, è da riscontrarsi sostanzialmente in tre live</w:t>
      </w:r>
      <w:r>
        <w:t>lli:</w:t>
      </w:r>
    </w:p>
    <w:p w:rsidR="00000000" w:rsidRDefault="000F1381">
      <w:pPr>
        <w:jc w:val="both"/>
      </w:pPr>
      <w:r>
        <w:tab/>
        <w:t xml:space="preserve">a) livello costituzionale </w:t>
      </w:r>
    </w:p>
    <w:p w:rsidR="00000000" w:rsidRDefault="000F1381">
      <w:pPr>
        <w:jc w:val="both"/>
      </w:pPr>
      <w:r>
        <w:tab/>
        <w:t>b) livello professionale</w:t>
      </w:r>
    </w:p>
    <w:p w:rsidR="00000000" w:rsidRDefault="000F1381">
      <w:pPr>
        <w:jc w:val="both"/>
      </w:pPr>
      <w:r>
        <w:tab/>
        <w:t>c) livello prossemico</w:t>
      </w:r>
    </w:p>
    <w:p w:rsidR="00000000" w:rsidRDefault="000F1381">
      <w:pPr>
        <w:jc w:val="both"/>
      </w:pPr>
      <w:r>
        <w:t>A livello costituzionale l'attenzione si pone sul titolo V ovvero sull'ordinamento della Repubblica e più nello specifico sul principio di sussidiarietà incarnato nell'art. 1</w:t>
      </w:r>
      <w:r>
        <w:t>18 “Stato, Regioni, Città metropolitane, Province e Comuni favoriscono l'autonoma iniziativa dei cittadini, singoli e associati, per lo svolgimento di attività di interesse generale, sulla base del principio di sussidiarietà.”</w:t>
      </w:r>
    </w:p>
    <w:p w:rsidR="00000000" w:rsidRDefault="000F1381">
      <w:pPr>
        <w:jc w:val="both"/>
      </w:pPr>
      <w:r>
        <w:t>La sussidiarietà verticale si</w:t>
      </w:r>
      <w:r>
        <w:t xml:space="preserve"> esplicita in una distribuzione di competenze amministrative nei diversi livelli di governo territoriale e si esprime nell'intervento degli organismi superiori solo laddove l'esercizio delle funzioni da parte dell'organismo inferiore sia inadeguato per il </w:t>
      </w:r>
      <w:r>
        <w:t>raggiungimento degli obbiettivi.</w:t>
      </w:r>
    </w:p>
    <w:p w:rsidR="00000000" w:rsidRDefault="000F1381">
      <w:pPr>
        <w:jc w:val="both"/>
      </w:pPr>
      <w:r>
        <w:t>Nel caso specifico la sussidiarietà richiama l'attenzione sul principio saldato a livello costituzionale per il quale l'ente più vicino al cittadino, perlopiù se in condizioni di fragilità, ha una responsabilità prioritaria</w:t>
      </w:r>
      <w:r>
        <w:t xml:space="preserve"> nell'applicazione degli strumenti protettivi e di supporto per il superamento degli ostacoli che di fatto limitano la piena applicazione della sovranità individuale.</w:t>
      </w:r>
    </w:p>
    <w:p w:rsidR="00000000" w:rsidRDefault="000F1381">
      <w:pPr>
        <w:jc w:val="both"/>
      </w:pPr>
      <w:r>
        <w:t>In questo decentramento statale, che ricordiamo trova le sue origini nelle cd “Leggi Bass</w:t>
      </w:r>
      <w:r>
        <w:t xml:space="preserve">anini” della </w:t>
      </w:r>
      <w:r>
        <w:lastRenderedPageBreak/>
        <w:t>fine degli anni '90, il Comune – ente locale più vicino al cittadino- acquista un ruolo principe nella valutazione e dunque nella segnalazione delle situazioni meritevoli di protezione giuridica.</w:t>
      </w:r>
    </w:p>
    <w:p w:rsidR="00000000" w:rsidRDefault="000F1381">
      <w:pPr>
        <w:jc w:val="both"/>
      </w:pPr>
      <w:r>
        <w:t>Il Comune, e le figure professionali in esso pr</w:t>
      </w:r>
      <w:r>
        <w:t>esenti, hanno un ruolo centrale nella rilevazione delle problematiche a livello territoriale e indubbiamente facilitato dalla prossimità, dalla conoscenza diretta e dal suo essere un osservatorio attento ed aggiornato.</w:t>
      </w:r>
    </w:p>
    <w:p w:rsidR="00000000" w:rsidRDefault="000F1381">
      <w:pPr>
        <w:jc w:val="both"/>
      </w:pPr>
      <w:r>
        <w:t>In una lettura più ampia del concetto</w:t>
      </w:r>
      <w:r>
        <w:t xml:space="preserve"> territoriale di servizi, a quelli comunali si devono affiancare tutti i servizi centrali e territoriali afferenti alle aziende ospedaliere e alle aziende sanitarie locali, con le loro branche specialistiche differenziate per patologia o condizione di frag</w:t>
      </w:r>
      <w:r>
        <w:t xml:space="preserve">ilità, ma pur sempre inserite in una rete di servizi integrata così come declinato a livello nazionale dalla legge 328/2000 </w:t>
      </w:r>
      <w:r>
        <w:t>“</w:t>
      </w:r>
      <w:r>
        <w:rPr>
          <w:rStyle w:val="Enfasigrassetto"/>
          <w:b w:val="0"/>
          <w:bCs w:val="0"/>
        </w:rPr>
        <w:t>Legge quadro per la realizzazione del sistema integrato di interventi e servizi sociali”.</w:t>
      </w:r>
      <w:r>
        <w:t xml:space="preserve"> </w:t>
      </w:r>
    </w:p>
    <w:p w:rsidR="00000000" w:rsidRDefault="000F1381">
      <w:pPr>
        <w:jc w:val="both"/>
      </w:pPr>
      <w:r>
        <w:t>È nel principio di sussidiarietà fin qui</w:t>
      </w:r>
      <w:r>
        <w:t xml:space="preserve"> esplicitato che trova infatti conforto il livello prossemico, ovvero quella connotazione di vicinanza e prossimità che consente una più facile conoscenza, valutazione sistemico relazionale delle singole situazioni ed una miglior comprensione delle diffico</w:t>
      </w:r>
      <w:r>
        <w:t>ltà e delle possibili soluzioni.</w:t>
      </w:r>
    </w:p>
    <w:p w:rsidR="00000000" w:rsidRDefault="000F1381">
      <w:pPr>
        <w:jc w:val="both"/>
      </w:pPr>
      <w:r>
        <w:t>È nel livello prossemico che si energizza inoltre l'attivazione delle reti di supporto con la decodificazione, la valorizzazione e il potenziamento delle risorse territoriali informali chiamate a dar vita e forma alla cosid</w:t>
      </w:r>
      <w:r>
        <w:t>detta sussidiarietà locale.</w:t>
      </w:r>
    </w:p>
    <w:p w:rsidR="00000000" w:rsidRDefault="000F1381">
      <w:pPr>
        <w:jc w:val="both"/>
      </w:pPr>
      <w:r>
        <w:t>La sussidiarietà locale è da intendersi come l'evoluzione della solidarietà, ovvero come la capacità di offrire supporto e sostegno passando dalla logica assistenziale del “io per te” alla logica promozionale del “io con te”.</w:t>
      </w:r>
    </w:p>
    <w:p w:rsidR="00000000" w:rsidRDefault="000F1381">
      <w:pPr>
        <w:jc w:val="both"/>
      </w:pPr>
      <w:r>
        <w:t>In</w:t>
      </w:r>
      <w:r>
        <w:t>fine è nel livello professionale delle competenze tecniche tipiche dei servizi socio sanitari che trova giusta collocazione la volontà del legislatore di identificare la responsabilità della segnalazione ai servizi socio sanitari.</w:t>
      </w:r>
    </w:p>
    <w:p w:rsidR="00000000" w:rsidRDefault="000F1381">
      <w:pPr>
        <w:jc w:val="both"/>
      </w:pPr>
      <w:r>
        <w:t>All'interno dei servizi s</w:t>
      </w:r>
      <w:r>
        <w:t>ocio sanitari opera di norma l'assistente sociale, figura chiave e centrale del sistema di welfare nazionale chiamata istituzionalmente a fungere da “punto di raccordo fra problematiche, bisogni e risorse sia nei confronti di individui e famiglie, ma anche</w:t>
      </w:r>
      <w:r>
        <w:t xml:space="preserve"> e soprattutto nei confronti della comunità e dello stesso sistema dei servizi.” ( Dal Pra Ponticelli, 2010)</w:t>
      </w:r>
    </w:p>
    <w:p w:rsidR="00000000" w:rsidRDefault="000F1381">
      <w:pPr>
        <w:jc w:val="both"/>
      </w:pPr>
      <w:r>
        <w:t>Nell'ambito dell'amministrazione di sostegno l'assistente sociale ha un ruolo chiave in quanto professionista chiamato a valutare i bisogni della s</w:t>
      </w:r>
      <w:r>
        <w:t>ingola persona, valutare l'effettiva necessità di richiedere l'attivazione di uno strumento specifico per uno specifico problema e di attivare e potenziare le risorse personali, ma anche quelle informali e territoriali che possono portare giovamento al ben</w:t>
      </w:r>
      <w:r>
        <w:t>essere della persona e/o al superamento di determinati ostacoli.</w:t>
      </w:r>
    </w:p>
    <w:p w:rsidR="00000000" w:rsidRDefault="000F1381">
      <w:pPr>
        <w:jc w:val="both"/>
      </w:pPr>
      <w:r>
        <w:t>Ruolo imprescindibile e inderogabile dell'assistente sociale è certamente quello di comprendere l'effettiva necessità di avviare istanza di amministrazione di sostegno, partendo dal principio</w:t>
      </w:r>
      <w:r>
        <w:t xml:space="preserve"> cardine che vede lo strumento di protezione giuridica quale soluzione squisitamente residuale, da applicare laddove se ne ravvisi una ineluttabile necessità.</w:t>
      </w:r>
    </w:p>
    <w:p w:rsidR="00000000" w:rsidRDefault="000F1381">
      <w:pPr>
        <w:jc w:val="both"/>
      </w:pPr>
      <w:r>
        <w:t xml:space="preserve">A tal proposito giova ricordare che l'articolo 3 della Costituzione Italiana recita </w:t>
      </w:r>
      <w:r>
        <w:rPr>
          <w:i/>
          <w:iCs/>
        </w:rPr>
        <w:t>“E' compito d</w:t>
      </w:r>
      <w:r>
        <w:rPr>
          <w:i/>
          <w:iCs/>
        </w:rPr>
        <w:t>ella Repubblica rimuovere gli ostacoli...</w:t>
      </w:r>
      <w:r>
        <w:t>” non crearne altri, non utilizzare strumenti nati a fini promozionali per creare, per quanto in buona fede, impedimenti contrari alla ratio della norma stessa.</w:t>
      </w:r>
    </w:p>
    <w:p w:rsidR="00000000" w:rsidRDefault="000F1381">
      <w:pPr>
        <w:jc w:val="both"/>
      </w:pPr>
      <w:r>
        <w:t>L'amministrazione di sostegno non è uno strumento di p</w:t>
      </w:r>
      <w:r>
        <w:t>rotezione di massa, pertanto assolutamente improprie risultano – ad esempio – le richieste avanzate da numerose RSA (Residenze Sanitarie Assistenziali) di attivare, in fase di sottoscrizione del contratto di ingresso e senza alcuna conoscenza dei bisogni e</w:t>
      </w:r>
      <w:r>
        <w:t xml:space="preserve"> delle risorse della persona, istanza di amministrazione di sostegno.</w:t>
      </w:r>
    </w:p>
    <w:p w:rsidR="00000000" w:rsidRDefault="000F1381">
      <w:pPr>
        <w:jc w:val="both"/>
      </w:pPr>
      <w:r>
        <w:t xml:space="preserve">Tale comportamento, assolutamente contrario alla ratio normativa, non può che tradursi in un atteggiamento auto protettivo e deresponsabilizzante da parte della struttura ospitante, che </w:t>
      </w:r>
      <w:r>
        <w:t>grava sulla dignità della persona, è contrario alla norma a cui invece fa riferimento e implica oneri organizzativi e mentali a famigliari già spesso gravati dalla situazione contingente del proprio congiunto.</w:t>
      </w:r>
    </w:p>
    <w:p w:rsidR="00000000" w:rsidRDefault="000F1381">
      <w:pPr>
        <w:jc w:val="both"/>
      </w:pPr>
      <w:r>
        <w:t>A tutto ciò si aggiunga l'intasamento delle ca</w:t>
      </w:r>
      <w:r>
        <w:t>ncellerie e dunque dell'attività dei giudici tutelari che dovranno comunque, seppur solo in fase iniziale, avviare l'istruttoria per una valutazione del caso spesso confluente in un rigetto dell'istanza avanzata.</w:t>
      </w:r>
    </w:p>
    <w:p w:rsidR="00000000" w:rsidRDefault="000F1381">
      <w:pPr>
        <w:jc w:val="both"/>
      </w:pPr>
      <w:r>
        <w:lastRenderedPageBreak/>
        <w:t>È dunque possibile leggere nell'articolo 40</w:t>
      </w:r>
      <w:r>
        <w:t>6 del codice civile un ruolo specifico attribuito dal legislatore ai servizi socio sanitari che è quello di valutare, ponderare, attivare l'attivabile, per ricorrere all'amministrazione di sostegno solo laddove effettivamente necessario e non utilizzandolo</w:t>
      </w:r>
      <w:r>
        <w:t xml:space="preserve"> come una massificazione omologata e spersonalizzante capace certamente di risolvere le ansie e le preoccupazioni dei servizi richiedenti, ma assolutamente disfunzionale al rispetto della persona e agli obiettivi della legge 6/2004.</w:t>
      </w:r>
    </w:p>
    <w:p w:rsidR="00000000" w:rsidRDefault="000F1381">
      <w:pPr>
        <w:jc w:val="both"/>
      </w:pPr>
      <w:r>
        <w:t>I servizi socio sanitar</w:t>
      </w:r>
      <w:r>
        <w:t>i hanno dunque un ruolo fondamentale nella corretta applicazione di tale legge che si esplica anche nel supporto al giudice tutelare, concretizzabile in azioni come quelle di seguito elencate:</w:t>
      </w:r>
    </w:p>
    <w:p w:rsidR="00000000" w:rsidRDefault="000F1381">
      <w:pPr>
        <w:numPr>
          <w:ilvl w:val="0"/>
          <w:numId w:val="3"/>
        </w:numPr>
        <w:jc w:val="both"/>
      </w:pPr>
      <w:r>
        <w:rPr>
          <w:u w:val="single"/>
        </w:rPr>
        <w:t>Segnalazioni appropriate:</w:t>
      </w:r>
      <w:r>
        <w:t xml:space="preserve"> ovvero che lo strumento richiesto in </w:t>
      </w:r>
      <w:r>
        <w:t>fase di ricorso sia appropriato in termini proporzionali al motivo della richiesta.</w:t>
      </w:r>
    </w:p>
    <w:p w:rsidR="00000000" w:rsidRDefault="000F1381">
      <w:pPr>
        <w:jc w:val="both"/>
      </w:pPr>
      <w:r>
        <w:t>Inopportune saranno dunque le richieste di amministrazione di sostegno avviate per la firma del contratto di ingresso in RSA, piuttosto che quelle avanzate per la redazione</w:t>
      </w:r>
      <w:r>
        <w:t xml:space="preserve"> della dichiarazione dei redditi, dove molte volte soluzioni di carattere pratico, debitamente ragionate, possono sostituirsi ad interventi di carattere giuridico.</w:t>
      </w:r>
    </w:p>
    <w:p w:rsidR="00000000" w:rsidRDefault="000F1381">
      <w:pPr>
        <w:numPr>
          <w:ilvl w:val="0"/>
          <w:numId w:val="1"/>
        </w:numPr>
        <w:jc w:val="both"/>
      </w:pPr>
      <w:r>
        <w:rPr>
          <w:u w:val="single"/>
        </w:rPr>
        <w:t>Segnalazioni complete:</w:t>
      </w:r>
      <w:r>
        <w:t xml:space="preserve"> che non si limitino al mero adempimento burocratico risolvibile nell'</w:t>
      </w:r>
      <w:r>
        <w:t>invio del modulo di ricorso redatto dalla cancelleria, ma che siano quanto più complete di tutte le informazioni necessarie al giudice per valutare se applicare l'amministrazione di sostegno e come modularla al meglio al fine di evitare decreti standardizz</w:t>
      </w:r>
      <w:r>
        <w:t>ati e quanto più aderenti alla persona che devono vestire.</w:t>
      </w:r>
    </w:p>
    <w:p w:rsidR="00000000" w:rsidRDefault="000F1381">
      <w:pPr>
        <w:jc w:val="both"/>
      </w:pPr>
      <w:r>
        <w:t>I professionisti del sociale sono dunque chiamati ad evitare il disseccamento burocratico, donandosi generosamente attraverso relazioni sociali circoscritte, ma complete di tutte le informazioni ne</w:t>
      </w:r>
      <w:r>
        <w:t>cessarie all'istanza.</w:t>
      </w:r>
    </w:p>
    <w:p w:rsidR="00000000" w:rsidRDefault="000F1381">
      <w:pPr>
        <w:jc w:val="both"/>
      </w:pPr>
      <w:r>
        <w:t xml:space="preserve">Tra queste indubbiamente le informazioni relative alla condizione sanitaria (circoscrivendola preferibilmente a quelle patologie che di fatto limitano la capacità d'agire), alla condizione patrimoniale, alla ricostruzione dell'albero </w:t>
      </w:r>
      <w:r>
        <w:t>genealogico con l'identificazione dei parenti fino al IV° grado e gli affini fino al II° e alla chiara declinazione degli atti di rilevanza giuridica che il beneficiario deve compiere e per i quali si richiede l'amministrazione di sostegno.</w:t>
      </w:r>
    </w:p>
    <w:p w:rsidR="00000000" w:rsidRDefault="000F1381">
      <w:pPr>
        <w:jc w:val="both"/>
      </w:pPr>
      <w:r>
        <w:t>Ma anche e sopr</w:t>
      </w:r>
      <w:r>
        <w:t>attutto si dia evidenza alla valutazione sociale, ruolo prettamente appartenente all'assistente sociale e non demandabile al giudice tutelare.</w:t>
      </w:r>
    </w:p>
    <w:p w:rsidR="00000000" w:rsidRDefault="000F1381">
      <w:pPr>
        <w:jc w:val="both"/>
      </w:pPr>
      <w:r>
        <w:t>Garantire una giovevole valutazione sociale significa ad esempio dare risalto alle persone che vivono- al di là d</w:t>
      </w:r>
      <w:r>
        <w:t>elle evidenze anagrafiche – con il beneficiario, quali sono le condizioni abitative e le relazioni significative per la persona, dando risalto a coloro che assumono particolare importanza nella vita del beneficiario al di là dei legami parentali.</w:t>
      </w:r>
    </w:p>
    <w:p w:rsidR="00000000" w:rsidRDefault="000F1381">
      <w:pPr>
        <w:jc w:val="both"/>
      </w:pPr>
      <w:r>
        <w:t>Altrettan</w:t>
      </w:r>
      <w:r>
        <w:t>to importante potrebbe essere il rilievo di coloro che – al contrario – sembrerebbero essere disfunzionali al ben-essere dell'interessato.</w:t>
      </w:r>
    </w:p>
    <w:p w:rsidR="00000000" w:rsidRDefault="000F1381">
      <w:pPr>
        <w:jc w:val="both"/>
      </w:pPr>
      <w:r>
        <w:t>Nel rispetto della ratio normativa, notevole importanza assume l'identificazione – per quanto possibile- dei desideri</w:t>
      </w:r>
      <w:r>
        <w:t xml:space="preserve"> e delle aspirazioni del beneficiario, oltre che l'evidenza di quelle spese che – apparentemente illogiche – assumono un significato preponderante nella vita della persona.</w:t>
      </w:r>
    </w:p>
    <w:p w:rsidR="00000000" w:rsidRDefault="000F1381">
      <w:pPr>
        <w:jc w:val="both"/>
      </w:pPr>
      <w:r>
        <w:t>È ad esempio il caso del ragazzo schizofrenico per il quale la necessità di acquist</w:t>
      </w:r>
      <w:r>
        <w:t>are un paio di scarpe gialle ogni mese all'arrivo della pensione di invalidità civile è assolutamente fondamentale per il suo trattamento socio sanitario e soprattutto per il suo benessere psichico.</w:t>
      </w:r>
    </w:p>
    <w:p w:rsidR="00000000" w:rsidRDefault="000F1381">
      <w:pPr>
        <w:jc w:val="both"/>
      </w:pPr>
      <w:r>
        <w:t>Solo garantendo questo genere di attenzioni e di osservaz</w:t>
      </w:r>
      <w:r>
        <w:t>ioni antropologiche potremo favorire la realizzazione di decreti personalizzati, capaci di calzare perfettamente come un vestito su misura del  beneficiario e non moduli pre-compilati con la tecnica del copia e incolla.</w:t>
      </w:r>
    </w:p>
    <w:p w:rsidR="00000000" w:rsidRDefault="000F1381">
      <w:pPr>
        <w:numPr>
          <w:ilvl w:val="0"/>
          <w:numId w:val="2"/>
        </w:numPr>
        <w:jc w:val="both"/>
      </w:pPr>
      <w:r>
        <w:rPr>
          <w:u w:val="single"/>
        </w:rPr>
        <w:t>Fornire informazioni corrette alla c</w:t>
      </w:r>
      <w:r>
        <w:rPr>
          <w:u w:val="single"/>
        </w:rPr>
        <w:t xml:space="preserve">ittadinanza </w:t>
      </w:r>
      <w:r>
        <w:t>per evitare ricorsi impropri, errati e/o incompleti.</w:t>
      </w:r>
    </w:p>
    <w:p w:rsidR="00000000" w:rsidRDefault="000F1381">
      <w:pPr>
        <w:jc w:val="both"/>
      </w:pPr>
      <w:r>
        <w:t>L'assistente sociale deve essere in grado di fornire corrette informazioni sui soggetti legittimati al ricorso, sull'effettiva necessità di procedere con un'istanza d'amministrazione di soste</w:t>
      </w:r>
      <w:r>
        <w:t>gno perché si configurano due elementi essenziali : lo stato di bisogno e la necessità di compiere un atto di rilevanza giuridica.</w:t>
      </w:r>
    </w:p>
    <w:p w:rsidR="00000000" w:rsidRDefault="000F1381">
      <w:pPr>
        <w:jc w:val="both"/>
      </w:pPr>
      <w:r>
        <w:t xml:space="preserve">Deve saper valutare la rilevanza concreta e attuale degli atti giuridici da compiere e saper fornire </w:t>
      </w:r>
      <w:r>
        <w:lastRenderedPageBreak/>
        <w:t>supporto nella rendicont</w:t>
      </w:r>
      <w:r>
        <w:t>azione annuale / finale che l'amministratore di sostegno deve fornire al giudice tutelare.</w:t>
      </w:r>
    </w:p>
    <w:p w:rsidR="00000000" w:rsidRDefault="000F1381">
      <w:pPr>
        <w:jc w:val="both"/>
      </w:pPr>
      <w:r>
        <w:t>Tutto ciò ha un importante ruolo di supporto sia per il giudice tutelare che per la cancelleria,   e favorisce la riduzione degli ingorghi in Tribunale, snellisce le</w:t>
      </w:r>
      <w:r>
        <w:t xml:space="preserve"> pratiche e migliora i decreti.</w:t>
      </w:r>
    </w:p>
    <w:p w:rsidR="00000000" w:rsidRDefault="000F1381">
      <w:pPr>
        <w:numPr>
          <w:ilvl w:val="0"/>
          <w:numId w:val="4"/>
        </w:numPr>
        <w:jc w:val="both"/>
      </w:pPr>
      <w:r>
        <w:rPr>
          <w:u w:val="single"/>
        </w:rPr>
        <w:t xml:space="preserve">Attivazione del territorio: </w:t>
      </w:r>
      <w:r>
        <w:t xml:space="preserve"> l'assistente sociale è per sua formazione attivatore di risorse individuali, istituzionali e comunitarie.</w:t>
      </w:r>
    </w:p>
    <w:p w:rsidR="00000000" w:rsidRDefault="000F1381">
      <w:pPr>
        <w:jc w:val="both"/>
      </w:pPr>
      <w:r>
        <w:t xml:space="preserve">Nel caso specifico il ruolo a cui è chiamata l'assistente sociale è quello di attivatore </w:t>
      </w:r>
      <w:r>
        <w:t>di sussidiarietà locale, favorendo quella che è definibile come “triangolazione generativa” tra giudice tutelare, amministratore di sostegno e territorio.</w:t>
      </w:r>
    </w:p>
    <w:p w:rsidR="00000000" w:rsidRDefault="000F1381">
      <w:pPr>
        <w:jc w:val="both"/>
      </w:pPr>
      <w:r>
        <w:t xml:space="preserve">Un territorio fertile, attrezzato,  evoluto, che rappresenti un'alta forma di volontariato,  adulto, </w:t>
      </w:r>
      <w:r>
        <w:t>calato sui bisogni in maniera sincronica e capace di rispondere alle necessità cosiddette di “nuova generazione”, perché derivanti da una concezione progredita dei diritti della persona fragile.</w:t>
      </w:r>
    </w:p>
    <w:p w:rsidR="00000000" w:rsidRDefault="000F1381">
      <w:pPr>
        <w:jc w:val="both"/>
      </w:pPr>
      <w:r>
        <w:t>È grazie alle connessioni sinergiche, alla prossimità, ai leg</w:t>
      </w:r>
      <w:r>
        <w:t>ami sociali locali, al senso di appartenenza, alla responsabilità civile che le reti si formano, si consolidano e si saldano a costituzione di un cordone di supporto delle fragilità che talvolta consente di non dover ricorrere alla protezione giuridica per</w:t>
      </w:r>
      <w:r>
        <w:t>ché la rete contiene e soddisfa i bisogni a favore della persona fragile.</w:t>
      </w:r>
    </w:p>
    <w:p w:rsidR="00000000" w:rsidRDefault="000F1381">
      <w:pPr>
        <w:jc w:val="both"/>
      </w:pPr>
      <w:r>
        <w:t>Ed è in questo intreccio di nodi che l'assistente sociale si pone quale attivatore di risorse, competenza dalla quale traggono vantaggio tutti:</w:t>
      </w:r>
    </w:p>
    <w:p w:rsidR="00000000" w:rsidRDefault="000F1381">
      <w:pPr>
        <w:numPr>
          <w:ilvl w:val="0"/>
          <w:numId w:val="5"/>
        </w:numPr>
        <w:jc w:val="both"/>
      </w:pPr>
      <w:r>
        <w:t>il beneficiario che si interfaccia con</w:t>
      </w:r>
      <w:r>
        <w:t xml:space="preserve"> volti noti, che non vive il senso di solitudine, che non si sente abbandonato dalla sua stessa comunità, anzi ad essa si sente appartenere,</w:t>
      </w:r>
    </w:p>
    <w:p w:rsidR="00000000" w:rsidRDefault="000F1381">
      <w:pPr>
        <w:numPr>
          <w:ilvl w:val="0"/>
          <w:numId w:val="5"/>
        </w:numPr>
        <w:jc w:val="both"/>
      </w:pPr>
      <w:r>
        <w:t>l'amministratore di sostegno che non si identifica quale martire immolato sull'altare dei diritti umani, ma quale a</w:t>
      </w:r>
      <w:r>
        <w:t>ttore che fa parte di un sistema triangolato, supportato dai servizi di prossimità (sportelli) ai quali si può rivolgere per trovare informazioni, guide, supporti, confronti e rinforzi anti dimissione dall'incarico frustranti e cariche di sentimenti abband</w:t>
      </w:r>
      <w:r>
        <w:t>onici da parte del beneficiario,</w:t>
      </w:r>
    </w:p>
    <w:p w:rsidR="00000000" w:rsidRDefault="000F1381">
      <w:pPr>
        <w:numPr>
          <w:ilvl w:val="0"/>
          <w:numId w:val="5"/>
        </w:numPr>
        <w:jc w:val="both"/>
      </w:pPr>
      <w:r>
        <w:t>Il giudice tutelare che si sentirà supportato da un territorio attivo, in grado di fornire risposte, di dare utili indicazioni, di diventare sentinella del e sul territorio e al quale riferirsi come interlocutore privilegia</w:t>
      </w:r>
      <w:r>
        <w:t>to e competente.</w:t>
      </w:r>
    </w:p>
    <w:p w:rsidR="00000000" w:rsidRDefault="000F1381">
      <w:pPr>
        <w:jc w:val="both"/>
      </w:pPr>
      <w:r>
        <w:t xml:space="preserve">Insomma una gestione corale dell'amministrazione di sostegno, multidimensionale, nella quale tutti entrano con il proprio ruolo, perché la fragilità - e dunque gli strumenti a protezione della stessa - non riguardano solo una categoria di </w:t>
      </w:r>
      <w:r>
        <w:t>persone, non riguardano solo i malati di mente, i medici, gli assistenti sociali, ecc... ma riguardano tutti e a tutti potrebbero riguardare.</w:t>
      </w:r>
    </w:p>
    <w:p w:rsidR="00000000" w:rsidRDefault="000F1381">
      <w:pPr>
        <w:jc w:val="both"/>
      </w:pPr>
      <w:r>
        <w:t xml:space="preserve">Non è raro sentire affermazioni del tipo “non avrei mai pensato di trovarmi in questa situazione”, “chi l'avrebbe </w:t>
      </w:r>
      <w:r>
        <w:t>mai detto che ....”</w:t>
      </w:r>
    </w:p>
    <w:p w:rsidR="00000000" w:rsidRDefault="000F1381">
      <w:pPr>
        <w:jc w:val="both"/>
      </w:pPr>
      <w:r>
        <w:t>quindi è bene che tutti impariamo a parlare la stessa lingua, ognuno certamente con le proprie competenze e specificità, ma in maniera corale e condivisa.</w:t>
      </w:r>
    </w:p>
    <w:p w:rsidR="00000000" w:rsidRDefault="000F1381">
      <w:pPr>
        <w:jc w:val="both"/>
      </w:pPr>
    </w:p>
    <w:p w:rsidR="00000000" w:rsidRDefault="000F1381">
      <w:pPr>
        <w:jc w:val="both"/>
      </w:pPr>
      <w:r>
        <w:tab/>
      </w:r>
      <w:r>
        <w:tab/>
      </w:r>
      <w:r>
        <w:tab/>
      </w:r>
      <w:r>
        <w:tab/>
      </w:r>
    </w:p>
    <w:p w:rsidR="00000000" w:rsidRDefault="000F1381">
      <w:pPr>
        <w:jc w:val="both"/>
      </w:pPr>
    </w:p>
    <w:p w:rsidR="00000000" w:rsidRDefault="000F1381">
      <w:pPr>
        <w:jc w:val="both"/>
      </w:pPr>
    </w:p>
    <w:p w:rsidR="00000000" w:rsidRDefault="000F1381">
      <w:pPr>
        <w:jc w:val="both"/>
      </w:pPr>
    </w:p>
    <w:p w:rsidR="000F1381" w:rsidRDefault="000F1381">
      <w:pPr>
        <w:jc w:val="both"/>
      </w:pPr>
    </w:p>
    <w:sectPr w:rsidR="000F138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6988"/>
    <w:rsid w:val="000F1381"/>
    <w:rsid w:val="009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articoli/5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2358</Words>
  <Characters>13443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Guendalina Scozzafava</dc:creator>
  <cp:lastModifiedBy>AsA</cp:lastModifiedBy>
  <cp:revision>2</cp:revision>
  <cp:lastPrinted>1601-01-01T00:00:00Z</cp:lastPrinted>
  <dcterms:created xsi:type="dcterms:W3CDTF">2016-05-30T12:56:00Z</dcterms:created>
  <dcterms:modified xsi:type="dcterms:W3CDTF">2016-05-30T12:56:00Z</dcterms:modified>
</cp:coreProperties>
</file>